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C8FA" w14:textId="1EEA5055" w:rsidR="00C1535E" w:rsidRPr="00C1535E" w:rsidRDefault="00AE144E" w:rsidP="00C1535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53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М.Н.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C1535E" w:rsidRPr="00C153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Мелютина</w:t>
      </w:r>
      <w:proofErr w:type="spellEnd"/>
      <w:r w:rsidR="00C1535E" w:rsidRPr="00C153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8B20C70" w14:textId="77777777" w:rsidR="00C1535E" w:rsidRPr="00C1535E" w:rsidRDefault="00C1535E" w:rsidP="00C1535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535E">
        <w:rPr>
          <w:rFonts w:ascii="Times New Roman" w:hAnsi="Times New Roman" w:cs="Times New Roman"/>
          <w:i/>
          <w:iCs/>
          <w:sz w:val="24"/>
          <w:szCs w:val="24"/>
        </w:rPr>
        <w:t>Кандидат философских наук, начальник отдела изучения и интерпретации историко-культурного наследия ФГБУ «Национальный парк «</w:t>
      </w:r>
      <w:proofErr w:type="spellStart"/>
      <w:r w:rsidRPr="00C1535E">
        <w:rPr>
          <w:rFonts w:ascii="Times New Roman" w:hAnsi="Times New Roman" w:cs="Times New Roman"/>
          <w:i/>
          <w:iCs/>
          <w:sz w:val="24"/>
          <w:szCs w:val="24"/>
        </w:rPr>
        <w:t>Кенозерский</w:t>
      </w:r>
      <w:proofErr w:type="spellEnd"/>
      <w:r w:rsidRPr="00C1535E">
        <w:rPr>
          <w:rFonts w:ascii="Times New Roman" w:hAnsi="Times New Roman" w:cs="Times New Roman"/>
          <w:i/>
          <w:iCs/>
          <w:sz w:val="24"/>
          <w:szCs w:val="24"/>
        </w:rPr>
        <w:t>» (Архангельск)</w:t>
      </w:r>
    </w:p>
    <w:p w14:paraId="61941AEC" w14:textId="77777777" w:rsidR="00C1535E" w:rsidRPr="00C1535E" w:rsidRDefault="00AE144E" w:rsidP="00AE14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1535E" w:rsidRPr="00A0173A">
          <w:rPr>
            <w:rStyle w:val="a3"/>
            <w:rFonts w:ascii="Times New Roman" w:hAnsi="Times New Roman" w:cs="Times New Roman"/>
            <w:sz w:val="24"/>
            <w:szCs w:val="24"/>
          </w:rPr>
          <w:t>nauka@kenozero.ru</w:t>
        </w:r>
      </w:hyperlink>
      <w:r w:rsidR="00C153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</w:p>
    <w:p w14:paraId="09D9C1DB" w14:textId="77777777" w:rsidR="00A8118B" w:rsidRDefault="00C1535E" w:rsidP="00AE14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35E">
        <w:rPr>
          <w:rFonts w:ascii="Times New Roman" w:hAnsi="Times New Roman" w:cs="Times New Roman"/>
          <w:b/>
          <w:bCs/>
          <w:sz w:val="24"/>
          <w:szCs w:val="24"/>
        </w:rPr>
        <w:t>Поморская девка: социокультурный статус в традиционном локальном сообществе Летнего берега Белого моря (по экспедиционным записям Н.И. Рождественской, 1937–1938 гг.)</w:t>
      </w:r>
    </w:p>
    <w:p w14:paraId="01EE942D" w14:textId="77777777" w:rsidR="00C1535E" w:rsidRDefault="00C1535E" w:rsidP="00AE14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8B73CDE" w14:textId="77777777" w:rsidR="00C1535E" w:rsidRPr="005D70E3" w:rsidRDefault="00C1535E" w:rsidP="00C153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t>В исследовании, основанном на экспедиционных записях и опубликованных материалах этнографа Н.И. Рождественской, определяется социокультурный статус поморской девки. Материалы экспедиции Н.И. Рождественской на Летний берег Белого моря в 1937–1938 гг. до сих полноценно не включены в научный оборот. Авторские документы хранятся в Российском государственном архиве литературы и искусства и рукописном отделе Государственного музея истории российской литературы имени В.И. Даля. Отметим, что отдельным собранием является фотоколлекция.</w:t>
      </w:r>
    </w:p>
    <w:p w14:paraId="68A6E52B" w14:textId="77777777" w:rsidR="00C1535E" w:rsidRPr="005D70E3" w:rsidRDefault="00C1535E" w:rsidP="00C153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t xml:space="preserve">В фокусе настоящего исследования находятся поморские девки </w:t>
      </w:r>
      <w:proofErr w:type="spellStart"/>
      <w:r w:rsidRPr="005D70E3">
        <w:rPr>
          <w:rFonts w:ascii="Times New Roman" w:hAnsi="Times New Roman"/>
          <w:sz w:val="24"/>
          <w:szCs w:val="24"/>
        </w:rPr>
        <w:t>микротерритории</w:t>
      </w:r>
      <w:proofErr w:type="spellEnd"/>
      <w:r w:rsidRPr="005D70E3">
        <w:rPr>
          <w:rFonts w:ascii="Times New Roman" w:hAnsi="Times New Roman"/>
          <w:sz w:val="24"/>
          <w:szCs w:val="24"/>
        </w:rPr>
        <w:t xml:space="preserve"> южного </w:t>
      </w:r>
      <w:proofErr w:type="spellStart"/>
      <w:r w:rsidRPr="005D70E3">
        <w:rPr>
          <w:rFonts w:ascii="Times New Roman" w:hAnsi="Times New Roman"/>
          <w:sz w:val="24"/>
          <w:szCs w:val="24"/>
        </w:rPr>
        <w:t>Беломорья</w:t>
      </w:r>
      <w:proofErr w:type="spellEnd"/>
      <w:r w:rsidRPr="005D70E3">
        <w:rPr>
          <w:rFonts w:ascii="Times New Roman" w:hAnsi="Times New Roman"/>
          <w:sz w:val="24"/>
          <w:szCs w:val="24"/>
        </w:rPr>
        <w:t xml:space="preserve"> – деревни </w:t>
      </w:r>
      <w:proofErr w:type="spellStart"/>
      <w:r w:rsidRPr="005D70E3">
        <w:rPr>
          <w:rFonts w:ascii="Times New Roman" w:hAnsi="Times New Roman"/>
          <w:sz w:val="24"/>
          <w:szCs w:val="24"/>
        </w:rPr>
        <w:t>Лопшеньга</w:t>
      </w:r>
      <w:proofErr w:type="spellEnd"/>
      <w:r w:rsidRPr="005D70E3">
        <w:rPr>
          <w:rFonts w:ascii="Times New Roman" w:hAnsi="Times New Roman"/>
          <w:sz w:val="24"/>
          <w:szCs w:val="24"/>
        </w:rPr>
        <w:t>. Хронологический период изыскания – конец XIX – начало XX в</w:t>
      </w:r>
      <w:r>
        <w:rPr>
          <w:rFonts w:ascii="Times New Roman" w:hAnsi="Times New Roman"/>
          <w:sz w:val="24"/>
          <w:szCs w:val="24"/>
        </w:rPr>
        <w:t>в</w:t>
      </w:r>
      <w:r w:rsidRPr="005D70E3">
        <w:rPr>
          <w:rFonts w:ascii="Times New Roman" w:hAnsi="Times New Roman"/>
          <w:sz w:val="24"/>
          <w:szCs w:val="24"/>
        </w:rPr>
        <w:t xml:space="preserve">. </w:t>
      </w:r>
    </w:p>
    <w:p w14:paraId="65B28F44" w14:textId="77777777" w:rsidR="00C1535E" w:rsidRPr="005D70E3" w:rsidRDefault="00C1535E" w:rsidP="00C153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t>В универсальности концепта «поморская девка» часто не существует соотнесенности с локальными географическими территориями. Общая систематизация не детализирует особенности конкретных локусов, имеющих различия в силу ландшафтных, социальных, экономических условий развития поморских поселений. Важно также рассматривать концепт «поморская девка» не просто в морском контексте (человека, живущего на морском побережье), но и через опыт, эмоции, чувства конкретных персоналий. Представленная работа, выполненная на микроуровне, основана на автобиографических рассказах, записанных Н.И. Рождественской и другими собирателями.</w:t>
      </w:r>
    </w:p>
    <w:p w14:paraId="0E2F0C15" w14:textId="77777777" w:rsidR="00C1535E" w:rsidRPr="005D70E3" w:rsidRDefault="00C1535E" w:rsidP="00C153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t xml:space="preserve">Знаковыми характеристиками концепта «поморская девка», которые моделируются автором исследования, являются: социальный статус (возраст, имущественное положение, грамотность); прагматика повседневности (функционал, специализация занятий, вещественный мир), праздничный ритуал (молодежные гуляния); </w:t>
      </w:r>
      <w:proofErr w:type="spellStart"/>
      <w:r w:rsidRPr="005D70E3">
        <w:rPr>
          <w:rFonts w:ascii="Times New Roman" w:hAnsi="Times New Roman"/>
          <w:sz w:val="24"/>
          <w:szCs w:val="24"/>
        </w:rPr>
        <w:t>предбрачный</w:t>
      </w:r>
      <w:proofErr w:type="spellEnd"/>
      <w:r w:rsidRPr="005D70E3">
        <w:rPr>
          <w:rFonts w:ascii="Times New Roman" w:hAnsi="Times New Roman"/>
          <w:sz w:val="24"/>
          <w:szCs w:val="24"/>
        </w:rPr>
        <w:t xml:space="preserve"> «устав».</w:t>
      </w:r>
    </w:p>
    <w:p w14:paraId="3DEF3614" w14:textId="77777777" w:rsidR="00C1535E" w:rsidRPr="005D70E3" w:rsidRDefault="00C1535E" w:rsidP="00C1535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t xml:space="preserve">Социокультурный статус молодых жительниц </w:t>
      </w:r>
      <w:proofErr w:type="spellStart"/>
      <w:r w:rsidRPr="005D70E3">
        <w:rPr>
          <w:rFonts w:ascii="Times New Roman" w:hAnsi="Times New Roman"/>
          <w:sz w:val="24"/>
          <w:szCs w:val="24"/>
        </w:rPr>
        <w:t>Лопшеньги</w:t>
      </w:r>
      <w:proofErr w:type="spellEnd"/>
      <w:r w:rsidRPr="005D70E3">
        <w:rPr>
          <w:rFonts w:ascii="Times New Roman" w:hAnsi="Times New Roman"/>
          <w:sz w:val="24"/>
          <w:szCs w:val="24"/>
        </w:rPr>
        <w:t xml:space="preserve"> является социальным «следом» территории с относительно невысокой промысловой интенсивностью по отношению к другим беломорским селениям, где </w:t>
      </w:r>
      <w:proofErr w:type="spellStart"/>
      <w:r w:rsidRPr="005D70E3">
        <w:rPr>
          <w:rFonts w:ascii="Times New Roman" w:hAnsi="Times New Roman"/>
          <w:sz w:val="24"/>
          <w:szCs w:val="24"/>
        </w:rPr>
        <w:t>лопшарям</w:t>
      </w:r>
      <w:proofErr w:type="spellEnd"/>
      <w:r w:rsidRPr="005D70E3">
        <w:rPr>
          <w:rFonts w:ascii="Times New Roman" w:hAnsi="Times New Roman"/>
          <w:sz w:val="24"/>
          <w:szCs w:val="24"/>
        </w:rPr>
        <w:t xml:space="preserve"> приходилось нередко ходить от купцов за рыбой (семгой); за звериным салом в Норвегию, на Терский и Мурманский берега, добывать и продавать продукцию за долги. </w:t>
      </w:r>
    </w:p>
    <w:p w14:paraId="1CFA7CCD" w14:textId="77777777" w:rsidR="00C1535E" w:rsidRPr="005D70E3" w:rsidRDefault="00C1535E" w:rsidP="00C1535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lastRenderedPageBreak/>
        <w:t>Формирование девки осуществлялось при социальном контроле взрослых. Хозяйственный домострой предусматривал контроль за обучением и выполнением трудовых обязанностей. Жители поморских поселений на Летнем берегу Белого моря были менее зажиточными, чем в деревнях других берегов (например, Поморского), и трудовые заботы девок здесь были более объемными.</w:t>
      </w:r>
    </w:p>
    <w:p w14:paraId="50928EA7" w14:textId="77777777" w:rsidR="00C1535E" w:rsidRPr="005D70E3" w:rsidRDefault="00C1535E" w:rsidP="00C153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t>Достаточно ярко прослеживается тенденция расслоения поморских девок на богатых и бедных на примере рассаживания их на «</w:t>
      </w:r>
      <w:proofErr w:type="spellStart"/>
      <w:r w:rsidRPr="005D70E3">
        <w:rPr>
          <w:rFonts w:ascii="Times New Roman" w:hAnsi="Times New Roman"/>
          <w:sz w:val="24"/>
          <w:szCs w:val="24"/>
        </w:rPr>
        <w:t>бесёдах</w:t>
      </w:r>
      <w:proofErr w:type="spellEnd"/>
      <w:r w:rsidRPr="005D70E3">
        <w:rPr>
          <w:rFonts w:ascii="Times New Roman" w:hAnsi="Times New Roman"/>
          <w:sz w:val="24"/>
          <w:szCs w:val="24"/>
        </w:rPr>
        <w:t>». Строго регламентировалась родовая иерархия, где представительницы «славного житья» соотносились с богатыми девушками и садились на переднюю лавку, а участницы молодежной встречи победнее могли занимать только боковые лавки.</w:t>
      </w:r>
    </w:p>
    <w:p w14:paraId="21776FC4" w14:textId="77777777" w:rsidR="00C1535E" w:rsidRPr="005D70E3" w:rsidRDefault="00C1535E" w:rsidP="00C153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t xml:space="preserve">Одним из важных социально-престижных факторов бытия девки был сбор приданого. Особенностью </w:t>
      </w:r>
      <w:proofErr w:type="spellStart"/>
      <w:r w:rsidRPr="005D70E3">
        <w:rPr>
          <w:rFonts w:ascii="Times New Roman" w:hAnsi="Times New Roman"/>
          <w:sz w:val="24"/>
          <w:szCs w:val="24"/>
        </w:rPr>
        <w:t>Лопшеньги</w:t>
      </w:r>
      <w:proofErr w:type="spellEnd"/>
      <w:r w:rsidRPr="005D70E3">
        <w:rPr>
          <w:rFonts w:ascii="Times New Roman" w:hAnsi="Times New Roman"/>
          <w:sz w:val="24"/>
          <w:szCs w:val="24"/>
        </w:rPr>
        <w:t xml:space="preserve"> являлось то, что девушки не только зависели от материальных возможностей семьи, но и сами принимали участие в его подготовке (зарабатывали деньги «отходом» в город, окрестные деревни и т.д.). Эти социальные нормы разнятся с общепринятыми правилами подготовки приданого родителями, которые обязаны были обеспечивать девку «на выданье» материальным достатком. </w:t>
      </w:r>
    </w:p>
    <w:p w14:paraId="7E077689" w14:textId="77777777" w:rsidR="00C1535E" w:rsidRPr="005D70E3" w:rsidRDefault="00C1535E" w:rsidP="00C153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t>Заявленная нами тема изучения социокультурного статуса девки на примере локального сообщества имеет хорошую исследовательскую перспективу. Изучение социального статуса жительниц конкретных беломорских локусов позволяет выявлять сходства и различия в местных историях, и, как следствие, более объемно и содержательно анализировать концепт «поморская девка».</w:t>
      </w:r>
    </w:p>
    <w:p w14:paraId="7F5B58C8" w14:textId="77777777" w:rsidR="00C1535E" w:rsidRPr="005D70E3" w:rsidRDefault="00C1535E" w:rsidP="00C1535E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E3">
        <w:rPr>
          <w:rFonts w:ascii="Times New Roman" w:hAnsi="Times New Roman"/>
          <w:sz w:val="24"/>
          <w:szCs w:val="24"/>
        </w:rPr>
        <w:t xml:space="preserve">Отдельное внимание в работе уделено вещественному миру девки. Предмет является символом, определяющим статус, возраст, эстетические предпочтения и др. Впервые вводятся в научный оборот вещи девичьего сообщества, которые были собраны сотрудниками </w:t>
      </w:r>
      <w:proofErr w:type="spellStart"/>
      <w:r w:rsidRPr="005D70E3">
        <w:rPr>
          <w:rFonts w:ascii="Times New Roman" w:hAnsi="Times New Roman"/>
          <w:sz w:val="24"/>
          <w:szCs w:val="24"/>
        </w:rPr>
        <w:t>Кенозерского</w:t>
      </w:r>
      <w:proofErr w:type="spellEnd"/>
      <w:r w:rsidRPr="005D70E3">
        <w:rPr>
          <w:rFonts w:ascii="Times New Roman" w:hAnsi="Times New Roman"/>
          <w:sz w:val="24"/>
          <w:szCs w:val="24"/>
        </w:rPr>
        <w:t xml:space="preserve"> национального парка в </w:t>
      </w:r>
      <w:proofErr w:type="spellStart"/>
      <w:r w:rsidRPr="005D70E3">
        <w:rPr>
          <w:rFonts w:ascii="Times New Roman" w:hAnsi="Times New Roman"/>
          <w:sz w:val="24"/>
          <w:szCs w:val="24"/>
        </w:rPr>
        <w:t>Лопшеньге</w:t>
      </w:r>
      <w:proofErr w:type="spellEnd"/>
      <w:r w:rsidRPr="005D70E3">
        <w:rPr>
          <w:rFonts w:ascii="Times New Roman" w:hAnsi="Times New Roman"/>
          <w:sz w:val="24"/>
          <w:szCs w:val="24"/>
        </w:rPr>
        <w:t xml:space="preserve"> в 2017–2020 гг., а также хранящиеся в семьях жителей </w:t>
      </w:r>
      <w:proofErr w:type="spellStart"/>
      <w:r w:rsidRPr="005D70E3">
        <w:rPr>
          <w:rFonts w:ascii="Times New Roman" w:hAnsi="Times New Roman"/>
          <w:sz w:val="24"/>
          <w:szCs w:val="24"/>
        </w:rPr>
        <w:t>Лопшеньги</w:t>
      </w:r>
      <w:proofErr w:type="spellEnd"/>
      <w:r w:rsidRPr="005D70E3">
        <w:rPr>
          <w:rFonts w:ascii="Times New Roman" w:hAnsi="Times New Roman"/>
          <w:sz w:val="24"/>
          <w:szCs w:val="24"/>
        </w:rPr>
        <w:t xml:space="preserve">. Ряд этих предметов утратили свой функционал, но благодаря этнографической фотографии Н.И. Рождественской, их назначение приобретает информационную наполненность, ценную для репрезентации «поморской девки» в музейном пространстве в Визит-центре деревни </w:t>
      </w:r>
      <w:proofErr w:type="spellStart"/>
      <w:r w:rsidRPr="005D70E3">
        <w:rPr>
          <w:rFonts w:ascii="Times New Roman" w:hAnsi="Times New Roman"/>
          <w:sz w:val="24"/>
          <w:szCs w:val="24"/>
        </w:rPr>
        <w:t>Лопшеньги</w:t>
      </w:r>
      <w:proofErr w:type="spellEnd"/>
      <w:r w:rsidRPr="005D70E3">
        <w:rPr>
          <w:rFonts w:ascii="Times New Roman" w:hAnsi="Times New Roman"/>
          <w:sz w:val="24"/>
          <w:szCs w:val="24"/>
        </w:rPr>
        <w:t>.</w:t>
      </w:r>
    </w:p>
    <w:p w14:paraId="6E69E9F6" w14:textId="77777777" w:rsidR="00C1535E" w:rsidRPr="005D70E3" w:rsidRDefault="00C1535E" w:rsidP="00C1535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418590" w14:textId="77777777" w:rsidR="00C1535E" w:rsidRPr="00C1535E" w:rsidRDefault="00C1535E" w:rsidP="00C1535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535E" w:rsidRPr="00C153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8AA00" w14:textId="77777777" w:rsidR="00C1535E" w:rsidRDefault="00C1535E" w:rsidP="00C1535E">
      <w:pPr>
        <w:spacing w:after="0" w:line="240" w:lineRule="auto"/>
      </w:pPr>
      <w:r>
        <w:separator/>
      </w:r>
    </w:p>
  </w:endnote>
  <w:endnote w:type="continuationSeparator" w:id="0">
    <w:p w14:paraId="6F88F95D" w14:textId="77777777" w:rsidR="00C1535E" w:rsidRDefault="00C1535E" w:rsidP="00C1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146279"/>
      <w:docPartObj>
        <w:docPartGallery w:val="Page Numbers (Bottom of Page)"/>
        <w:docPartUnique/>
      </w:docPartObj>
    </w:sdtPr>
    <w:sdtEndPr/>
    <w:sdtContent>
      <w:p w14:paraId="6D2C4BC6" w14:textId="77777777" w:rsidR="00C1535E" w:rsidRDefault="00C153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3E92F" w14:textId="77777777" w:rsidR="00C1535E" w:rsidRDefault="00C153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E79E" w14:textId="77777777" w:rsidR="00C1535E" w:rsidRDefault="00C1535E" w:rsidP="00C1535E">
      <w:pPr>
        <w:spacing w:after="0" w:line="240" w:lineRule="auto"/>
      </w:pPr>
      <w:r>
        <w:separator/>
      </w:r>
    </w:p>
  </w:footnote>
  <w:footnote w:type="continuationSeparator" w:id="0">
    <w:p w14:paraId="1E02AA53" w14:textId="77777777" w:rsidR="00C1535E" w:rsidRDefault="00C1535E" w:rsidP="00C1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5E"/>
    <w:rsid w:val="00A8118B"/>
    <w:rsid w:val="00AE144E"/>
    <w:rsid w:val="00C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6411"/>
  <w15:chartTrackingRefBased/>
  <w15:docId w15:val="{42F68F64-3DF5-4170-B4A7-67015DF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3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535E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5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C1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35E"/>
  </w:style>
  <w:style w:type="paragraph" w:styleId="a8">
    <w:name w:val="footer"/>
    <w:basedOn w:val="a"/>
    <w:link w:val="a9"/>
    <w:uiPriority w:val="99"/>
    <w:unhideWhenUsed/>
    <w:rsid w:val="00C1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ka@kenozer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2021-03-01T14:13:00Z</dcterms:created>
  <dcterms:modified xsi:type="dcterms:W3CDTF">2021-03-02T08:03:00Z</dcterms:modified>
</cp:coreProperties>
</file>